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20" w:rsidRPr="00474845" w:rsidRDefault="00F44020" w:rsidP="00F44020">
      <w:pPr>
        <w:pStyle w:val="Heading1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bookmarkStart w:id="0" w:name="_Toc155200437"/>
      <w:r w:rsidRPr="00474845">
        <w:rPr>
          <w:rFonts w:ascii="Arial" w:hAnsi="Arial" w:cs="Arial"/>
          <w:color w:val="000000" w:themeColor="text1"/>
          <w:sz w:val="24"/>
          <w:szCs w:val="24"/>
          <w:lang w:val="az-Latn-AZ"/>
        </w:rPr>
        <w:t>ƏMƏK MÜNASİBƏTLƏRİNİN MONİTORİNQİ</w:t>
      </w:r>
      <w:bookmarkEnd w:id="0"/>
    </w:p>
    <w:p w:rsidR="00F44020" w:rsidRPr="00474845" w:rsidRDefault="00F44020" w:rsidP="00F44020">
      <w:pPr>
        <w:spacing w:after="0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174D66" w:rsidRPr="00BD4FD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474845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  <w:t>“</w:t>
      </w:r>
      <w:r w:rsidRPr="00474845">
        <w:rPr>
          <w:rFonts w:ascii="Arial" w:hAnsi="Arial" w:cs="Arial"/>
          <w:bCs/>
          <w:color w:val="000000" w:themeColor="text1"/>
          <w:spacing w:val="2"/>
          <w:sz w:val="24"/>
          <w:szCs w:val="24"/>
          <w:shd w:val="clear" w:color="auto" w:fill="FFFFFF"/>
          <w:lang w:val="az-Latn-AZ"/>
        </w:rPr>
        <w:t>Tikinti sahəsində </w:t>
      </w:r>
      <w:r w:rsidRPr="00474845">
        <w:rPr>
          <w:rFonts w:ascii="Arial" w:hAnsi="Arial" w:cs="Arial"/>
          <w:bCs/>
          <w:iCs/>
          <w:color w:val="000000" w:themeColor="text1"/>
          <w:spacing w:val="2"/>
          <w:sz w:val="24"/>
          <w:szCs w:val="24"/>
          <w:shd w:val="clear" w:color="auto" w:fill="FFFFFF"/>
          <w:lang w:val="az-Latn-AZ"/>
        </w:rPr>
        <w:t>qeyri-formal məşğulluğun</w:t>
      </w:r>
      <w:r w:rsidRPr="00474845">
        <w:rPr>
          <w:rFonts w:ascii="Arial" w:hAnsi="Arial" w:cs="Arial"/>
          <w:bCs/>
          <w:color w:val="000000" w:themeColor="text1"/>
          <w:spacing w:val="2"/>
          <w:sz w:val="24"/>
          <w:szCs w:val="24"/>
          <w:shd w:val="clear" w:color="auto" w:fill="FFFFFF"/>
          <w:lang w:val="az-Latn-AZ"/>
        </w:rPr>
        <w:t xml:space="preserve"> qarşısının alınması ilə bağlı nəzarətin gücləndirilməsinə dair </w:t>
      </w:r>
      <w:r w:rsidRPr="00BD4FD5">
        <w:rPr>
          <w:rFonts w:ascii="Arial" w:hAnsi="Arial" w:cs="Arial"/>
          <w:bCs/>
          <w:spacing w:val="2"/>
          <w:sz w:val="24"/>
          <w:szCs w:val="24"/>
          <w:shd w:val="clear" w:color="auto" w:fill="FFFFFF"/>
          <w:lang w:val="az-Latn-AZ"/>
        </w:rPr>
        <w:t>tədbirlər haqqında</w:t>
      </w:r>
      <w:r w:rsidRPr="00BD4FD5">
        <w:rPr>
          <w:rFonts w:ascii="Arial" w:hAnsi="Arial" w:cs="Arial"/>
          <w:sz w:val="24"/>
          <w:szCs w:val="24"/>
          <w:lang w:val="az-Latn-AZ"/>
        </w:rPr>
        <w:t>” Azərbaycan Respublikası Prezidentinin 2017-ci il 28 aprel tarixli 1349 nömrəli Fərmanının</w:t>
      </w:r>
      <w:r w:rsidR="002C2A80" w:rsidRPr="00BD4FD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108DB" w:rsidRPr="00BD4FD5">
        <w:rPr>
          <w:rFonts w:ascii="Arial" w:hAnsi="Arial" w:cs="Arial"/>
          <w:sz w:val="24"/>
          <w:szCs w:val="24"/>
          <w:lang w:val="az-Latn-AZ"/>
        </w:rPr>
        <w:t xml:space="preserve">(bundan sonra – Fərman) 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icrası ilə əlaqədar yaradılmış və əsas məqsədi Bakı şəhərində tikilməkdə olan çoxmənzilli yaşayış binalarında (bundan sonra – tikinti obyektləri) </w:t>
      </w:r>
      <w:r w:rsidR="0020570B" w:rsidRPr="00BD4FD5">
        <w:rPr>
          <w:rFonts w:ascii="Arial" w:hAnsi="Arial" w:cs="Arial"/>
          <w:sz w:val="24"/>
          <w:szCs w:val="24"/>
          <w:lang w:val="az-Latn-AZ"/>
        </w:rPr>
        <w:t>qeyr</w:t>
      </w:r>
      <w:r w:rsidR="00AE1623" w:rsidRPr="00BD4FD5">
        <w:rPr>
          <w:rFonts w:ascii="Arial" w:hAnsi="Arial" w:cs="Arial"/>
          <w:sz w:val="24"/>
          <w:szCs w:val="24"/>
          <w:lang w:val="az-Latn-AZ"/>
        </w:rPr>
        <w:t>i</w:t>
      </w:r>
      <w:r w:rsidR="0020570B" w:rsidRPr="00BD4FD5">
        <w:rPr>
          <w:rFonts w:ascii="Arial" w:hAnsi="Arial" w:cs="Arial"/>
          <w:sz w:val="24"/>
          <w:szCs w:val="24"/>
          <w:lang w:val="az-Latn-AZ"/>
        </w:rPr>
        <w:t>-formal məşğulluq hallarının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qarşısının alınması sahəsində monitorinqlərin həyata keçirilməsindən və nəzarət fəaliyyətinin əlaqələndirilməsindən ibarət olan Dövlət Agentliyinin Əmək Münasibətlərinin Monitorinqi Mərkəzi (bundan sonra – Monitorinq Mərkəzi)</w:t>
      </w:r>
      <w:r w:rsidR="009108DB" w:rsidRPr="00BD4FD5">
        <w:rPr>
          <w:lang w:val="az-Latn-AZ"/>
        </w:rPr>
        <w:t> </w:t>
      </w:r>
      <w:r w:rsidRPr="00BD4FD5">
        <w:rPr>
          <w:rFonts w:ascii="Arial" w:hAnsi="Arial" w:cs="Arial"/>
          <w:sz w:val="24"/>
          <w:szCs w:val="24"/>
          <w:lang w:val="az-Latn-AZ"/>
        </w:rPr>
        <w:t>tərəfindən</w:t>
      </w:r>
      <w:r w:rsidR="009108DB" w:rsidRPr="00BD4FD5">
        <w:rPr>
          <w:rFonts w:ascii="Arial" w:hAnsi="Arial" w:cs="Arial"/>
          <w:sz w:val="24"/>
          <w:szCs w:val="24"/>
          <w:lang w:val="az-Latn-AZ"/>
        </w:rPr>
        <w:t> </w:t>
      </w:r>
      <w:r w:rsidRPr="00BD4FD5">
        <w:rPr>
          <w:rFonts w:ascii="Arial" w:hAnsi="Arial" w:cs="Arial"/>
          <w:sz w:val="24"/>
          <w:szCs w:val="24"/>
          <w:lang w:val="az-Latn-AZ"/>
        </w:rPr>
        <w:t>hesabatilind tikinti obyektlərində əmək münasibətlə</w:t>
      </w:r>
      <w:r w:rsidR="00174D66" w:rsidRPr="00BD4FD5">
        <w:rPr>
          <w:rFonts w:ascii="Arial" w:hAnsi="Arial" w:cs="Arial"/>
          <w:sz w:val="24"/>
          <w:szCs w:val="24"/>
          <w:lang w:val="az-Latn-AZ"/>
        </w:rPr>
        <w:t>rinin t</w:t>
      </w:r>
      <w:r w:rsidRPr="00BD4FD5">
        <w:rPr>
          <w:rFonts w:ascii="Arial" w:hAnsi="Arial" w:cs="Arial"/>
          <w:sz w:val="24"/>
          <w:szCs w:val="24"/>
          <w:lang w:val="az-Latn-AZ"/>
        </w:rPr>
        <w:t>ənzimlənməsi</w:t>
      </w:r>
      <w:r w:rsidR="00174D66" w:rsidRPr="00BD4FD5">
        <w:rPr>
          <w:rFonts w:ascii="Arial" w:hAnsi="Arial" w:cs="Arial"/>
          <w:sz w:val="24"/>
          <w:szCs w:val="24"/>
          <w:lang w:val="az-Latn-AZ"/>
        </w:rPr>
        <w:t> </w:t>
      </w:r>
      <w:r w:rsidRPr="00BD4FD5">
        <w:rPr>
          <w:rFonts w:ascii="Arial" w:hAnsi="Arial" w:cs="Arial"/>
          <w:sz w:val="24"/>
          <w:szCs w:val="24"/>
          <w:lang w:val="az-Latn-AZ"/>
        </w:rPr>
        <w:t>ilə</w:t>
      </w:r>
      <w:r w:rsidR="00174D66" w:rsidRPr="00BD4FD5">
        <w:rPr>
          <w:rFonts w:ascii="Arial" w:hAnsi="Arial" w:cs="Arial"/>
          <w:sz w:val="24"/>
          <w:szCs w:val="24"/>
          <w:lang w:val="az-Latn-AZ"/>
        </w:rPr>
        <w:t> bağlı </w:t>
      </w:r>
      <w:r w:rsidRPr="00BD4FD5">
        <w:rPr>
          <w:rFonts w:ascii="Arial" w:hAnsi="Arial" w:cs="Arial"/>
          <w:sz w:val="24"/>
          <w:szCs w:val="24"/>
          <w:lang w:val="az-Latn-AZ"/>
        </w:rPr>
        <w:t>3</w:t>
      </w:r>
      <w:r w:rsidR="0020570B" w:rsidRPr="00BD4FD5">
        <w:rPr>
          <w:rFonts w:ascii="Arial" w:hAnsi="Arial" w:cs="Arial"/>
          <w:sz w:val="24"/>
          <w:szCs w:val="24"/>
          <w:lang w:val="az-Latn-AZ"/>
        </w:rPr>
        <w:t>0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0570B" w:rsidRPr="00BD4FD5">
        <w:rPr>
          <w:rFonts w:ascii="Arial" w:hAnsi="Arial" w:cs="Arial"/>
          <w:sz w:val="24"/>
          <w:szCs w:val="24"/>
          <w:lang w:val="az-Latn-AZ"/>
        </w:rPr>
        <w:t>səyyar yoxlama tədbiri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həyata keçirilmiş və bunlardan 1</w:t>
      </w:r>
      <w:r w:rsidR="005A2FEC" w:rsidRPr="00BD4FD5">
        <w:rPr>
          <w:rFonts w:ascii="Arial" w:hAnsi="Arial" w:cs="Arial"/>
          <w:sz w:val="24"/>
          <w:szCs w:val="24"/>
          <w:lang w:val="az-Latn-AZ"/>
        </w:rPr>
        <w:t>2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monitorinqdə pozuntu halı aşkar edilmişdir.</w:t>
      </w:r>
    </w:p>
    <w:p w:rsidR="00F44020" w:rsidRPr="00BD4FD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76"/>
        <w:jc w:val="both"/>
        <w:rPr>
          <w:rFonts w:ascii="Arial" w:hAnsi="Arial" w:cs="Arial"/>
          <w:sz w:val="24"/>
          <w:szCs w:val="24"/>
          <w:lang w:val="az-Latn-AZ"/>
        </w:rPr>
      </w:pPr>
      <w:r w:rsidRPr="00BD4FD5">
        <w:rPr>
          <w:rFonts w:ascii="Arial" w:hAnsi="Arial" w:cs="Arial"/>
          <w:sz w:val="24"/>
          <w:szCs w:val="24"/>
          <w:lang w:val="az-Latn-AZ"/>
        </w:rPr>
        <w:t>Monitorinqlər zamanı 10</w:t>
      </w:r>
      <w:r w:rsidR="005A2FEC" w:rsidRPr="00BD4FD5">
        <w:rPr>
          <w:rFonts w:ascii="Arial" w:hAnsi="Arial" w:cs="Arial"/>
          <w:sz w:val="24"/>
          <w:szCs w:val="24"/>
          <w:lang w:val="az-Latn-AZ"/>
        </w:rPr>
        <w:t>02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nəfər işçi yoxlanılmış və bu işçilərdən </w:t>
      </w:r>
      <w:r w:rsidR="005A2FEC" w:rsidRPr="00BD4FD5">
        <w:rPr>
          <w:rFonts w:ascii="Arial" w:hAnsi="Arial" w:cs="Arial"/>
          <w:sz w:val="24"/>
          <w:szCs w:val="24"/>
          <w:lang w:val="az-Latn-AZ"/>
        </w:rPr>
        <w:t>57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nəfərin əmək və ya xidməti (mülki) müqaviləsi olmadan çalışdığı aşkar edilmişdir. Monitorinq olunmuş işəgötürənlər üzrə qeyri-formal məşğulluq səviyyə</w:t>
      </w:r>
      <w:r w:rsidR="005A2FEC" w:rsidRPr="00BD4FD5">
        <w:rPr>
          <w:rFonts w:ascii="Arial" w:hAnsi="Arial" w:cs="Arial"/>
          <w:sz w:val="24"/>
          <w:szCs w:val="24"/>
          <w:lang w:val="az-Latn-AZ"/>
        </w:rPr>
        <w:t>si 5</w:t>
      </w:r>
      <w:r w:rsidRPr="00BD4FD5">
        <w:rPr>
          <w:rFonts w:ascii="Arial" w:hAnsi="Arial" w:cs="Arial"/>
          <w:sz w:val="24"/>
          <w:szCs w:val="24"/>
          <w:lang w:val="az-Latn-AZ"/>
        </w:rPr>
        <w:t>,6% olmuşdur. Yoxlanılmış işçilərin 1</w:t>
      </w:r>
      <w:r w:rsidR="005A2FEC" w:rsidRPr="00BD4FD5">
        <w:rPr>
          <w:rFonts w:ascii="Arial" w:hAnsi="Arial" w:cs="Arial"/>
          <w:sz w:val="24"/>
          <w:szCs w:val="24"/>
          <w:lang w:val="az-Latn-AZ"/>
        </w:rPr>
        <w:t>10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hüquqi və fiziki şəxsi təmsil etdiyi müəyyən olunmuşdur. </w:t>
      </w:r>
    </w:p>
    <w:p w:rsidR="00F44020" w:rsidRPr="00BD4FD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76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9108DB" w:rsidRPr="00474845" w:rsidRDefault="009108DB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76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474845"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  <w:t>Yoxlanılmış işçilərin müqavilə statusu üzrə bölgüsü</w:t>
      </w:r>
    </w:p>
    <w:p w:rsidR="00F44020" w:rsidRPr="00474845" w:rsidRDefault="00C8064C" w:rsidP="00C8064C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142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</w:rPr>
        <w:drawing>
          <wp:inline distT="0" distB="0" distL="0" distR="0" wp14:anchorId="6EF8B32C" wp14:editId="5C9C8C05">
            <wp:extent cx="6657975" cy="2867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4020" w:rsidRPr="00BD4FD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76"/>
        <w:jc w:val="both"/>
        <w:rPr>
          <w:rFonts w:ascii="Arial" w:hAnsi="Arial" w:cs="Arial"/>
          <w:sz w:val="24"/>
          <w:szCs w:val="24"/>
          <w:lang w:val="az-Latn-AZ"/>
        </w:rPr>
      </w:pPr>
      <w:r w:rsidRPr="00474845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Dövlət Agentliyi tərəfindən həyata keçirilən nəzarət tədbirləri nəticəsində Bakı şəhərinin tikinti sektorunda 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əmək münasibətlərinin rəsmiləşdirilməsi sahəsində müsbət dəyişikliklər müşahidə edilməkdədir. Belə ki, monitorinqlər keçirilməyə başlanıldığı dövrdə tikinti obyektlərinin inşası ilə məşğul olan işçilərin təqribi olaraq 29,9%-i əmək müqaviləsi bağlanmadan çalışırdısa, hazırda bu göstərici </w:t>
      </w:r>
      <w:r w:rsidR="007B2224" w:rsidRPr="00BD4FD5">
        <w:rPr>
          <w:rFonts w:ascii="Arial" w:hAnsi="Arial" w:cs="Arial"/>
          <w:sz w:val="24"/>
          <w:szCs w:val="24"/>
          <w:lang w:val="az-Latn-AZ"/>
        </w:rPr>
        <w:t>5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,6%-ə qədər azalmışdır.   </w:t>
      </w:r>
    </w:p>
    <w:p w:rsidR="00F44020" w:rsidRPr="00BD4FD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44020" w:rsidRPr="00474845" w:rsidRDefault="0061177A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37B2544" wp14:editId="665181FC">
            <wp:extent cx="6627571" cy="3200400"/>
            <wp:effectExtent l="0" t="0" r="190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B22EE0" w:rsidRPr="00BD4FD5" w:rsidRDefault="00B22EE0" w:rsidP="00F44020">
      <w:pPr>
        <w:spacing w:after="0"/>
        <w:ind w:firstLine="576"/>
        <w:jc w:val="both"/>
        <w:rPr>
          <w:rFonts w:ascii="Arial" w:hAnsi="Arial" w:cs="Arial"/>
          <w:sz w:val="24"/>
          <w:szCs w:val="24"/>
          <w:lang w:val="az-Latn-AZ"/>
        </w:rPr>
      </w:pPr>
      <w:r w:rsidRPr="00BD4FD5">
        <w:rPr>
          <w:rFonts w:ascii="Arial" w:hAnsi="Arial" w:cs="Arial"/>
          <w:sz w:val="24"/>
          <w:szCs w:val="24"/>
          <w:lang w:val="az-Latn-AZ"/>
        </w:rPr>
        <w:t xml:space="preserve">Müvafiq Fərmanın 1.1-ci bəndinə əsasən, Dövlət Agentliyi tikilməkdə olan çoxmənzilli yaşayış binalarının və həmin tikinti obyektlərinin inşası ilə məşğul olan fiziki və hüquqi şəxslərin elektron reyestrini </w:t>
      </w:r>
      <w:r w:rsidR="00F477F3" w:rsidRPr="00BD4FD5">
        <w:rPr>
          <w:rFonts w:ascii="Arial" w:hAnsi="Arial" w:cs="Arial"/>
          <w:sz w:val="24"/>
          <w:szCs w:val="24"/>
          <w:lang w:val="az-Latn-AZ"/>
        </w:rPr>
        <w:t xml:space="preserve">formalaşdıraraq </w:t>
      </w:r>
      <w:r w:rsidRPr="00BD4FD5">
        <w:rPr>
          <w:rFonts w:ascii="Arial" w:hAnsi="Arial" w:cs="Arial"/>
          <w:sz w:val="24"/>
          <w:szCs w:val="24"/>
          <w:lang w:val="az-Latn-AZ"/>
        </w:rPr>
        <w:t>işçilərin eyniləşdirilməsini həyata keçirən Analitik Monitorinq Sistemi yaratmışdır.</w:t>
      </w:r>
    </w:p>
    <w:p w:rsidR="00F44020" w:rsidRPr="00BD4FD5" w:rsidRDefault="00F44020" w:rsidP="00F44020">
      <w:pPr>
        <w:spacing w:after="0"/>
        <w:ind w:firstLine="576"/>
        <w:jc w:val="both"/>
        <w:rPr>
          <w:rFonts w:ascii="Arial" w:eastAsiaTheme="minorHAnsi" w:hAnsi="Arial" w:cs="Arial"/>
          <w:sz w:val="24"/>
          <w:szCs w:val="24"/>
          <w:lang w:val="az-Latn-AZ"/>
        </w:rPr>
      </w:pPr>
      <w:r w:rsidRPr="00BD4FD5">
        <w:rPr>
          <w:rFonts w:ascii="Arial" w:hAnsi="Arial" w:cs="Arial"/>
          <w:sz w:val="24"/>
          <w:szCs w:val="24"/>
          <w:lang w:val="az-Latn-AZ"/>
        </w:rPr>
        <w:t xml:space="preserve">Qeyd edək ki, ötən 7 </w:t>
      </w:r>
      <w:r w:rsidR="00B22EE0" w:rsidRPr="00BD4FD5">
        <w:rPr>
          <w:rFonts w:ascii="Arial" w:hAnsi="Arial" w:cs="Arial"/>
          <w:sz w:val="24"/>
          <w:szCs w:val="24"/>
          <w:lang w:val="az-Latn-AZ"/>
        </w:rPr>
        <w:t xml:space="preserve">il </w:t>
      </w:r>
      <w:r w:rsidRPr="00BD4FD5">
        <w:rPr>
          <w:rFonts w:ascii="Arial" w:hAnsi="Arial" w:cs="Arial"/>
          <w:sz w:val="24"/>
          <w:szCs w:val="24"/>
          <w:lang w:val="az-Latn-AZ"/>
        </w:rPr>
        <w:t>ərzində Bakı şəhərində tikinti obyektlərinin inşası ilə məşğul olan podratçı şirkətlərin malik olduğu əmək müqaviləsi sayında 2 dəfədən çox artım qeydə alınmışdır. Belə ki, Monitorinq Mərkəzinin yaradıldığı dövrdə bir podratçı şirkət orta hesabla 35 əmək müqaviləsinə malik idisə, hesabat ilinin sonuna bu göstərici 7</w:t>
      </w:r>
      <w:r w:rsidR="00620F96" w:rsidRPr="00BD4FD5">
        <w:rPr>
          <w:rFonts w:ascii="Arial" w:hAnsi="Arial" w:cs="Arial"/>
          <w:sz w:val="24"/>
          <w:szCs w:val="24"/>
          <w:lang w:val="az-Latn-AZ"/>
        </w:rPr>
        <w:t>6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əmək müqaviləsinə qədər yüksəlmişdir. </w:t>
      </w:r>
    </w:p>
    <w:p w:rsidR="00F44020" w:rsidRPr="00BD4FD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44020" w:rsidRPr="00BD4FD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bookmarkStart w:id="1" w:name="_GoBack"/>
      <w:bookmarkEnd w:id="1"/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174D66" w:rsidRDefault="00174D66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7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</w:pP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7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</w:pPr>
      <w:r w:rsidRPr="00474845">
        <w:rPr>
          <w:rFonts w:ascii="Arial" w:hAnsi="Arial" w:cs="Arial"/>
          <w:b/>
          <w:bCs/>
          <w:color w:val="000000" w:themeColor="text1"/>
          <w:sz w:val="24"/>
          <w:szCs w:val="24"/>
          <w:lang w:val="az-Latn-AZ"/>
        </w:rPr>
        <w:t>Podratçı şirkətlər üzrə qüvvədə olan əmək müqavilələrinin orta sayı</w:t>
      </w:r>
    </w:p>
    <w:p w:rsidR="00F44020" w:rsidRPr="00474845" w:rsidRDefault="00F44020" w:rsidP="00F44020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78"/>
        <w:jc w:val="center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az-Latn-AZ"/>
        </w:rPr>
      </w:pPr>
    </w:p>
    <w:p w:rsidR="00F44020" w:rsidRPr="00474845" w:rsidRDefault="005272DF" w:rsidP="005272DF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hanging="90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472C80">
        <w:rPr>
          <w:rFonts w:ascii="Arial" w:hAnsi="Arial" w:cs="Arial"/>
          <w:noProof/>
          <w:sz w:val="24"/>
          <w:szCs w:val="24"/>
          <w:highlight w:val="yellow"/>
        </w:rPr>
        <w:lastRenderedPageBreak/>
        <w:drawing>
          <wp:inline distT="0" distB="0" distL="0" distR="0" wp14:anchorId="0FA4E2BF" wp14:editId="439B64C5">
            <wp:extent cx="6840855" cy="3775523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4020" w:rsidRPr="00BD4FD5" w:rsidRDefault="00F44020" w:rsidP="00F44020">
      <w:pPr>
        <w:tabs>
          <w:tab w:val="left" w:pos="540"/>
        </w:tabs>
        <w:spacing w:after="0"/>
        <w:ind w:firstLine="576"/>
        <w:jc w:val="both"/>
        <w:rPr>
          <w:rFonts w:ascii="Arial" w:hAnsi="Arial" w:cs="Arial"/>
          <w:sz w:val="24"/>
          <w:szCs w:val="24"/>
          <w:lang w:val="az-Latn-AZ"/>
        </w:rPr>
      </w:pPr>
      <w:r w:rsidRPr="00BD4FD5">
        <w:rPr>
          <w:rFonts w:ascii="Arial" w:hAnsi="Arial" w:cs="Arial"/>
          <w:sz w:val="24"/>
          <w:szCs w:val="24"/>
          <w:lang w:val="az-Latn-AZ"/>
        </w:rPr>
        <w:t xml:space="preserve">Keçirilmiş monitorinqlər zamanı əmək və ya xidməti müqaviləsi olmadan 10 nəfərdən az şəxsi işə cəlb etmə ilə bağlı </w:t>
      </w:r>
      <w:r w:rsidR="00480841" w:rsidRPr="00BD4FD5">
        <w:rPr>
          <w:rFonts w:ascii="Arial" w:hAnsi="Arial" w:cs="Arial"/>
          <w:sz w:val="24"/>
          <w:szCs w:val="24"/>
          <w:lang w:val="az-Latn-AZ"/>
        </w:rPr>
        <w:t>12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işəgötürən üzrə pozuntu halı qeydə alınmış və bu faktlar aktlaşdırılaraq baxılması üçün Dövlət Agentliyi tərəfindən Azərbaycan Respublikasının Əmək və Əhalinin Sosial Müdafiəsi Nazirliyinə göndərilmişdir. Ümumilikdə </w:t>
      </w:r>
      <w:r w:rsidR="00480841" w:rsidRPr="00BD4FD5">
        <w:rPr>
          <w:rFonts w:ascii="Arial" w:hAnsi="Arial" w:cs="Arial"/>
          <w:sz w:val="24"/>
          <w:szCs w:val="24"/>
          <w:lang w:val="az-Latn-AZ"/>
        </w:rPr>
        <w:t>6-sı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hüquqi, </w:t>
      </w:r>
      <w:r w:rsidR="00480841" w:rsidRPr="00BD4FD5">
        <w:rPr>
          <w:rFonts w:ascii="Arial" w:hAnsi="Arial" w:cs="Arial"/>
          <w:sz w:val="24"/>
          <w:szCs w:val="24"/>
          <w:lang w:val="az-Latn-AZ"/>
        </w:rPr>
        <w:t>6-sı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isə fiziki şəxs olmaqla </w:t>
      </w:r>
      <w:r w:rsidR="00480841" w:rsidRPr="00BD4FD5">
        <w:rPr>
          <w:rFonts w:ascii="Arial" w:hAnsi="Arial" w:cs="Arial"/>
          <w:sz w:val="24"/>
          <w:szCs w:val="24"/>
          <w:lang w:val="az-Latn-AZ"/>
        </w:rPr>
        <w:t>12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işəgötürəndən </w:t>
      </w:r>
      <w:r w:rsidR="00480841" w:rsidRPr="00BD4FD5">
        <w:rPr>
          <w:rFonts w:ascii="Arial" w:hAnsi="Arial" w:cs="Arial"/>
          <w:sz w:val="24"/>
          <w:szCs w:val="24"/>
          <w:lang w:val="az-Latn-AZ"/>
        </w:rPr>
        <w:t>10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işəgötürən barədə inzibati xəta faktı təsdiq edilmişdir. Bu faktlar üzrə </w:t>
      </w:r>
      <w:r w:rsidR="00480841" w:rsidRPr="00BD4FD5">
        <w:rPr>
          <w:rFonts w:ascii="Arial" w:hAnsi="Arial" w:cs="Arial"/>
          <w:sz w:val="24"/>
          <w:szCs w:val="24"/>
          <w:lang w:val="az-Latn-AZ"/>
        </w:rPr>
        <w:t>105,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000 manat həcmində inzibati cərimə tətbiq edilmişdir. </w:t>
      </w:r>
    </w:p>
    <w:p w:rsidR="00480841" w:rsidRPr="00BD4FD5" w:rsidRDefault="00480841" w:rsidP="00F44020">
      <w:pPr>
        <w:tabs>
          <w:tab w:val="left" w:pos="540"/>
        </w:tabs>
        <w:spacing w:after="0"/>
        <w:ind w:firstLine="576"/>
        <w:jc w:val="both"/>
        <w:rPr>
          <w:rFonts w:ascii="Arial" w:hAnsi="Arial" w:cs="Arial"/>
          <w:sz w:val="24"/>
          <w:szCs w:val="24"/>
          <w:lang w:val="az-Latn-AZ"/>
        </w:rPr>
      </w:pPr>
      <w:r w:rsidRPr="00BD4FD5">
        <w:rPr>
          <w:rFonts w:ascii="Arial" w:hAnsi="Arial" w:cs="Arial"/>
          <w:sz w:val="24"/>
          <w:szCs w:val="24"/>
          <w:lang w:val="az-Latn-AZ"/>
        </w:rPr>
        <w:t>Əmək və ya xidməti müqavilə olmadan 10 nəfər və daha çox şəxsi işə cəlb etmə ilə bağlı ümumilikdə 1 hüquqi şəxs olmaqla 1 işəgötürən üzrə pozuntu halı qeydə alınmış və bu faktlar aktlaşdırılaraq baxılması üçün Dövlət Agentliyi tərəfindən Azərbaycan Respublikasının Baş Prokurorluğuna göndərilmişdir (təhqiqat davam edir).</w:t>
      </w:r>
    </w:p>
    <w:p w:rsidR="00F44020" w:rsidRPr="00BD4FD5" w:rsidRDefault="00F44020" w:rsidP="00F44020">
      <w:pPr>
        <w:tabs>
          <w:tab w:val="left" w:pos="540"/>
        </w:tabs>
        <w:spacing w:after="0"/>
        <w:ind w:firstLine="576"/>
        <w:jc w:val="both"/>
        <w:rPr>
          <w:rFonts w:ascii="Arial" w:hAnsi="Arial" w:cs="Arial"/>
          <w:sz w:val="24"/>
          <w:szCs w:val="24"/>
          <w:lang w:val="az-Latn-AZ"/>
        </w:rPr>
      </w:pPr>
      <w:r w:rsidRPr="00BD4FD5">
        <w:rPr>
          <w:rFonts w:ascii="Arial" w:hAnsi="Arial" w:cs="Arial"/>
          <w:sz w:val="24"/>
          <w:szCs w:val="24"/>
          <w:lang w:val="az-Latn-AZ"/>
        </w:rPr>
        <w:t>202</w:t>
      </w:r>
      <w:r w:rsidR="007B2224" w:rsidRPr="00BD4FD5">
        <w:rPr>
          <w:rFonts w:ascii="Arial" w:hAnsi="Arial" w:cs="Arial"/>
          <w:sz w:val="24"/>
          <w:szCs w:val="24"/>
          <w:lang w:val="az-Latn-AZ"/>
        </w:rPr>
        <w:t>4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-cü il ərzində Monitorinq Mərkəzi tərəfindən </w:t>
      </w:r>
      <w:r w:rsidR="007B2224" w:rsidRPr="00BD4FD5">
        <w:rPr>
          <w:rFonts w:ascii="Arial" w:hAnsi="Arial" w:cs="Arial"/>
          <w:sz w:val="24"/>
          <w:szCs w:val="24"/>
          <w:lang w:val="az-Latn-AZ"/>
        </w:rPr>
        <w:t>16</w:t>
      </w:r>
      <w:r w:rsidRPr="00BD4FD5">
        <w:rPr>
          <w:rFonts w:ascii="Arial" w:hAnsi="Arial" w:cs="Arial"/>
          <w:sz w:val="24"/>
          <w:szCs w:val="24"/>
          <w:lang w:val="az-Latn-AZ"/>
        </w:rPr>
        <w:t xml:space="preserve"> tikinti obyektində işçi və işəgötürənlərlə maarifləndirmə xarakterli görüşlər keçirilmişdir. Görüşlər zamanı sahibkarlarla qeyri-formal məşğulluğu doğuran səbəblər müzakirə edilmiş, bu istiqamətdə tövsiyələr verilmiş, müxtəlif məlumatlandırıcı bukletlər və nəşrlər paylanılmışdır.</w:t>
      </w:r>
      <w:r w:rsidRPr="00BD4FD5">
        <w:rPr>
          <w:rFonts w:ascii="Arial" w:hAnsi="Arial" w:cs="Arial"/>
          <w:sz w:val="24"/>
          <w:szCs w:val="24"/>
          <w:lang w:val="az-Latn-AZ"/>
        </w:rPr>
        <w:tab/>
      </w:r>
    </w:p>
    <w:p w:rsidR="0014642B" w:rsidRPr="00BD4FD5" w:rsidRDefault="0014642B">
      <w:pPr>
        <w:rPr>
          <w:lang w:val="az-Latn-AZ"/>
        </w:rPr>
      </w:pPr>
    </w:p>
    <w:p w:rsidR="005272DF" w:rsidRPr="00F44020" w:rsidRDefault="005272DF">
      <w:pPr>
        <w:rPr>
          <w:lang w:val="az-Latn-AZ"/>
        </w:rPr>
      </w:pPr>
    </w:p>
    <w:sectPr w:rsidR="005272DF" w:rsidRPr="00F44020" w:rsidSect="00F44020">
      <w:pgSz w:w="12240" w:h="15840"/>
      <w:pgMar w:top="1440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72D5"/>
    <w:multiLevelType w:val="hybridMultilevel"/>
    <w:tmpl w:val="19AC35E2"/>
    <w:lvl w:ilvl="0" w:tplc="88F812EC">
      <w:start w:val="3"/>
      <w:numFmt w:val="decimal"/>
      <w:lvlText w:val="%1."/>
      <w:lvlJc w:val="left"/>
      <w:pPr>
        <w:ind w:left="3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11"/>
    <w:rsid w:val="00091FCF"/>
    <w:rsid w:val="000A357F"/>
    <w:rsid w:val="0014642B"/>
    <w:rsid w:val="00174D66"/>
    <w:rsid w:val="0017750E"/>
    <w:rsid w:val="001B3A77"/>
    <w:rsid w:val="0020570B"/>
    <w:rsid w:val="0028353C"/>
    <w:rsid w:val="002C2A80"/>
    <w:rsid w:val="003727AC"/>
    <w:rsid w:val="003D374B"/>
    <w:rsid w:val="00453783"/>
    <w:rsid w:val="00480841"/>
    <w:rsid w:val="004A750A"/>
    <w:rsid w:val="005272DF"/>
    <w:rsid w:val="005A2FEC"/>
    <w:rsid w:val="005B00EC"/>
    <w:rsid w:val="0061177A"/>
    <w:rsid w:val="00620F96"/>
    <w:rsid w:val="007020B4"/>
    <w:rsid w:val="007951D8"/>
    <w:rsid w:val="007B2224"/>
    <w:rsid w:val="00825CA9"/>
    <w:rsid w:val="009108DB"/>
    <w:rsid w:val="009241C6"/>
    <w:rsid w:val="009D788D"/>
    <w:rsid w:val="00A629C5"/>
    <w:rsid w:val="00AE1623"/>
    <w:rsid w:val="00B22EE0"/>
    <w:rsid w:val="00BD4FD5"/>
    <w:rsid w:val="00C61BE8"/>
    <w:rsid w:val="00C8064C"/>
    <w:rsid w:val="00D85511"/>
    <w:rsid w:val="00E16254"/>
    <w:rsid w:val="00E43A18"/>
    <w:rsid w:val="00E549BC"/>
    <w:rsid w:val="00EB791D"/>
    <w:rsid w:val="00ED224E"/>
    <w:rsid w:val="00EE617F"/>
    <w:rsid w:val="00F44020"/>
    <w:rsid w:val="00F477F3"/>
    <w:rsid w:val="00F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13EE-104A-4E96-BA90-2426B94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0"/>
    <w:pPr>
      <w:spacing w:after="200" w:line="276" w:lineRule="auto"/>
    </w:pPr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0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.i.abdullayev\Desktop\pie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2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FF0000"/>
            </a:solidFill>
          </c:spPr>
          <c:explosion val="5"/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EFD-451B-AC68-3153345FA1C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EFD-451B-AC68-3153345FA1C2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Əmək müqaviləsi</a:t>
                    </a:r>
                    <a:br>
                      <a:rPr lang="en-US"/>
                    </a:br>
                    <a:fld id="{EA759749-2C3A-4008-AB4C-4C9BF3669C93}" type="VALU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EFD-451B-AC68-3153345FA1C2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Müqavilə yoxdur </a:t>
                    </a:r>
                    <a:br>
                      <a:rPr lang="en-US"/>
                    </a:br>
                    <a:fld id="{2FCF3D74-FFCE-4629-B7F2-4777A044D3CC}" type="VALUE">
                      <a:rPr lang="en-US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EFD-451B-AC68-3153345FA1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Əmək müqaviləsi</c:v>
                </c:pt>
                <c:pt idx="1">
                  <c:v>Müqavilə yoxdur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0.94399999999999995</c:v>
                </c:pt>
                <c:pt idx="1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FD-451B-AC68-3153345FA1C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Qeyri-rəsmi məşğulluq səviyyəsinin dinamikası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312D-4CD5-A2C5-B854317B8F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Sheet1!$B$2:$B$9</c:f>
              <c:numCache>
                <c:formatCode>0.0%</c:formatCode>
                <c:ptCount val="8"/>
                <c:pt idx="0">
                  <c:v>0.29899999999999999</c:v>
                </c:pt>
                <c:pt idx="1">
                  <c:v>0.23699999999999999</c:v>
                </c:pt>
                <c:pt idx="2">
                  <c:v>0.13200000000000001</c:v>
                </c:pt>
                <c:pt idx="3">
                  <c:v>8.5999999999999993E-2</c:v>
                </c:pt>
                <c:pt idx="4">
                  <c:v>8.2495575000000002E-2</c:v>
                </c:pt>
                <c:pt idx="5">
                  <c:v>4.9000000000000002E-2</c:v>
                </c:pt>
                <c:pt idx="6">
                  <c:v>4.6283185999999997E-2</c:v>
                </c:pt>
                <c:pt idx="7">
                  <c:v>5.6000000000000001E-2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E7-4EC5-AB0E-1D2CE443FA7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smooth val="0"/>
        <c:axId val="80695088"/>
        <c:axId val="80694672"/>
      </c:lineChart>
      <c:catAx>
        <c:axId val="8069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694672"/>
        <c:crosses val="autoZero"/>
        <c:auto val="1"/>
        <c:lblAlgn val="ctr"/>
        <c:lblOffset val="100"/>
        <c:noMultiLvlLbl val="0"/>
      </c:catAx>
      <c:valAx>
        <c:axId val="806946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crossAx val="8069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7320883619673495E-2"/>
          <c:y val="0.1192392299936115"/>
          <c:w val="0.95931718088397655"/>
          <c:h val="0.6460670749489647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31750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9"/>
            <c:spPr>
              <a:solidFill>
                <a:schemeClr val="bg1"/>
              </a:solidFill>
              <a:ln w="41275">
                <a:solidFill>
                  <a:srgbClr val="C0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683685239981945E-2"/>
                  <c:y val="-1.05035870516185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75-4EE2-9D11-8D92B226BAC3}"/>
                </c:ext>
              </c:extLst>
            </c:dLbl>
            <c:dLbl>
              <c:idx val="1"/>
              <c:layout>
                <c:manualLayout>
                  <c:x val="-3.95069337442219E-2"/>
                  <c:y val="-1.6429512977544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75-4EE2-9D11-8D92B226BAC3}"/>
                </c:ext>
              </c:extLst>
            </c:dLbl>
            <c:dLbl>
              <c:idx val="2"/>
              <c:layout>
                <c:manualLayout>
                  <c:x val="-3.9506933744221914E-2"/>
                  <c:y val="-1.93924759405074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75-4EE2-9D11-8D92B226BAC3}"/>
                </c:ext>
              </c:extLst>
            </c:dLbl>
            <c:dLbl>
              <c:idx val="3"/>
              <c:layout>
                <c:manualLayout>
                  <c:x val="-3.1289162814586546E-2"/>
                  <c:y val="-1.05035870516185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75-4EE2-9D11-8D92B226BAC3}"/>
                </c:ext>
              </c:extLst>
            </c:dLbl>
            <c:dLbl>
              <c:idx val="4"/>
              <c:layout>
                <c:manualLayout>
                  <c:x val="-3.539804827940421E-2"/>
                  <c:y val="-7.540507436570456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197226502311251E-2"/>
                      <c:h val="0.101007407407407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975-4EE2-9D11-8D92B226BAC3}"/>
                </c:ext>
              </c:extLst>
            </c:dLbl>
            <c:dLbl>
              <c:idx val="5"/>
              <c:layout>
                <c:manualLayout>
                  <c:x val="-3.1289162814586546E-2"/>
                  <c:y val="-1.346655001458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75-4EE2-9D11-8D92B226BAC3}"/>
                </c:ext>
              </c:extLst>
            </c:dLbl>
            <c:dLbl>
              <c:idx val="6"/>
              <c:layout>
                <c:manualLayout>
                  <c:x val="-3.1289162814586546E-2"/>
                  <c:y val="-1.346655001458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75-4EE2-9D11-8D92B226BAC3}"/>
                </c:ext>
              </c:extLst>
            </c:dLbl>
            <c:dLbl>
              <c:idx val="7"/>
              <c:layout>
                <c:manualLayout>
                  <c:x val="-2.9234720082177708E-2"/>
                  <c:y val="-2.2355438903470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75-4EE2-9D11-8D92B226BA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1000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Monitorinq Mərkəzinin
 yaradılma tarixi -
2017-ci il 28 aprel
</c:v>
                </c:pt>
                <c:pt idx="1">
                  <c:v>Monitorinqlərin başlama tarixi -
2017-ci il 19 sentyabr
</c:v>
                </c:pt>
                <c:pt idx="2">
                  <c:v>Monitorinq Mərkəzinin yaradılmasından 
1 il sonra -
2018-ci il 28 aprel
</c:v>
                </c:pt>
                <c:pt idx="3">
                  <c:v>Monitorinqlərin başlanılmasından
1 il sonra -
2018-ci il 19 sentyabr
</c:v>
                </c:pt>
                <c:pt idx="4">
                  <c:v>Monitorinq Mərkəzinin yaradılmasından 
2 il sonra -
2019-cu il 28 aprel
</c:v>
                </c:pt>
                <c:pt idx="5">
                  <c:v>Monitorinqlərin başlanılmasından
2 il sonra -
2019-cu il 19 sentyabr
</c:v>
                </c:pt>
                <c:pt idx="6">
                  <c:v>Monitorinqlərin başlanılmasından
3 il sonra -
2020-ci il 19 sentyabr
</c:v>
                </c:pt>
                <c:pt idx="7">
                  <c:v>Monitorinqlərin başlanılmasından
4 il sonra-
2021-ci il 19 sentyabr</c:v>
                </c:pt>
                <c:pt idx="8">
                  <c:v>Monitorinqlərin başlanılmasından
5 il sonra-
2022-ci il 19 sentyabr</c:v>
                </c:pt>
                <c:pt idx="9">
                  <c:v>Monitorinqlərin başlamasından 6 il sonra 2023-cü il 19 sentyabr</c:v>
                </c:pt>
                <c:pt idx="10">
                  <c:v>Monitorinqlərin başlamasından 7 il sonra 2024-cü il 19 sentyabr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35</c:v>
                </c:pt>
                <c:pt idx="1">
                  <c:v>43</c:v>
                </c:pt>
                <c:pt idx="2">
                  <c:v>57</c:v>
                </c:pt>
                <c:pt idx="3">
                  <c:v>66</c:v>
                </c:pt>
                <c:pt idx="4">
                  <c:v>71</c:v>
                </c:pt>
                <c:pt idx="5">
                  <c:v>70</c:v>
                </c:pt>
                <c:pt idx="6">
                  <c:v>66</c:v>
                </c:pt>
                <c:pt idx="7">
                  <c:v>68</c:v>
                </c:pt>
                <c:pt idx="8">
                  <c:v>68</c:v>
                </c:pt>
                <c:pt idx="9">
                  <c:v>75</c:v>
                </c:pt>
                <c:pt idx="10">
                  <c:v>76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8-D975-4EE2-9D11-8D92B226B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134024"/>
        <c:axId val="409137160"/>
      </c:lineChart>
      <c:catAx>
        <c:axId val="409134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940" b="1" i="0" u="none" strike="noStrike" kern="1200" cap="none" baseline="1000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09137160"/>
        <c:crosses val="autoZero"/>
        <c:auto val="1"/>
        <c:lblAlgn val="ctr"/>
        <c:lblOffset val="400"/>
        <c:tickLblSkip val="1"/>
        <c:tickMarkSkip val="2"/>
        <c:noMultiLvlLbl val="0"/>
      </c:catAx>
      <c:valAx>
        <c:axId val="409137160"/>
        <c:scaling>
          <c:orientation val="minMax"/>
          <c:max val="80"/>
          <c:min val="29"/>
        </c:scaling>
        <c:delete val="0"/>
        <c:axPos val="l"/>
        <c:minorGridlines>
          <c:spPr>
            <a:ln w="0" cap="rnd" cmpd="sng" algn="ctr">
              <a:solidFill>
                <a:srgbClr val="E9E9E9"/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1000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09134024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100000">
          <a:latin typeface="+mn-lt"/>
          <a:cs typeface="Arial" panose="020B0604020202020204" pitchFamily="34" charset="0"/>
        </a:defRPr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0.87485</cdr:x>
      <cdr:y>0.20634</cdr:y>
    </cdr:from>
    <cdr:to>
      <cdr:x>0.99519</cdr:x>
      <cdr:y>0.68747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5899726" y="833341"/>
          <a:ext cx="811537" cy="19430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marL="0" marR="0" algn="ctr">
            <a:lnSpc>
              <a:spcPct val="115000"/>
            </a:lnSpc>
            <a:spcBef>
              <a:spcPts val="0"/>
            </a:spcBef>
            <a:spcAft>
              <a:spcPts val="0"/>
            </a:spcAft>
          </a:pPr>
          <a:r>
            <a:rPr lang="az-Latn-AZ" sz="1600" b="1">
              <a:solidFill>
                <a:srgbClr val="0099CC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11</a:t>
          </a:r>
          <a:r>
            <a:rPr lang="en-US" sz="1600" b="1">
              <a:solidFill>
                <a:srgbClr val="0099CC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7</a:t>
          </a:r>
          <a:r>
            <a:rPr lang="az-Latn-AZ" sz="1600" b="1">
              <a:solidFill>
                <a:srgbClr val="0099CC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% artım</a:t>
          </a:r>
          <a:endParaRPr lang="en-US" sz="1100">
            <a:effectLst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marL="0" marR="0" algn="ctr">
            <a:lnSpc>
              <a:spcPct val="115000"/>
            </a:lnSpc>
            <a:spcBef>
              <a:spcPts val="0"/>
            </a:spcBef>
            <a:spcAft>
              <a:spcPts val="1000"/>
            </a:spcAft>
          </a:pPr>
          <a:r>
            <a:rPr lang="en-US" sz="800">
              <a:solidFill>
                <a:srgbClr val="0099CC"/>
              </a:solidFill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 </a:t>
          </a:r>
          <a:endParaRPr lang="en-US" sz="1100">
            <a:effectLst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E764-3B40-4EDE-9F9A-83E05DA8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Bayramov</dc:creator>
  <cp:keywords/>
  <dc:description/>
  <cp:lastModifiedBy>Nübar Hüseynli</cp:lastModifiedBy>
  <cp:revision>2</cp:revision>
  <dcterms:created xsi:type="dcterms:W3CDTF">2025-01-23T12:20:00Z</dcterms:created>
  <dcterms:modified xsi:type="dcterms:W3CDTF">2025-01-23T12:20:00Z</dcterms:modified>
</cp:coreProperties>
</file>